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color w:val="330066"/>
          <w:sz w:val="36"/>
          <w:szCs w:val="36"/>
        </w:rPr>
        <w:t xml:space="preserve">ГОСУДАРСТВЕННОЕ УЧРЕЖДЕНИЕ -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ЦЕНТР ПРЕДОСТАВЛЕНИЯ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ГОСУДАРСТВЕННЫХ УСЛУГ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И УСТАНОВЛЕНИЯ ПЕНСИЙ ПФР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В ВОЛГОГРАДСКОЙ ОБЛАСТИ № 1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декабря 2019 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sz w:val="32"/>
          <w:szCs w:val="32"/>
          <w:lang w:eastAsia="ru-RU"/>
        </w:rPr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Пенсионеры, будьте бдительны: вам звонят мошенники!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lang w:eastAsia="ru-RU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 под различными предлогами: положен перерасчёт, Ваша карта якобы заблокирована Пенсионным фондом, предлагают срочно приехать в Управление ПФР в своём районе.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перерасчёте, сообщают о якобы полагающейся гражданину денежной выплате и просят сообщить паспортные данные, последние цифры банковской карты.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идентичны.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Отделение ПФР по Волгоградской области напоминает: сотрудники Пенсионного Фонда не осуществляют указанные выше действия. Любые запросы от имени ПФР направляются гражданам по почте. В компетенцию ПФР не входит блокировка карт, выданных кредитными учреждениями, а также перечисление на них дополнительных средств  якобы после проведенного перерасчёта.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Эта информация постоянно доводится до сведения граждан через СМИ, а также указывается на информационных стендах территориальных органов ПФР. Кроме того, любой гражданин может позвонить на многоканальный телефон регионального отделения ПФР по номеру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(8442) 96-09-09</w:t>
      </w:r>
      <w:r>
        <w:rPr>
          <w:rFonts w:eastAsia="Times New Roman" w:cs="Times New Roman"/>
          <w:sz w:val="28"/>
          <w:szCs w:val="28"/>
          <w:lang w:eastAsia="ru-RU"/>
        </w:rPr>
        <w:t xml:space="preserve"> и уточнить поступившую информацию.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В случае, если Вы подверглись мошенническим действиям, рекомендуем обратиться в полицию по месту своей регистраци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2019-12-18T13:44:25Z</dcterms:modified>
  <cp:revision>83</cp:revision>
</cp:coreProperties>
</file>